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9BC738" w14:textId="77777777" w:rsidR="009F06CD" w:rsidRDefault="009F06CD" w:rsidP="00C300C9">
      <w:pPr>
        <w:jc w:val="center"/>
        <w:rPr>
          <w:rFonts w:eastAsia="Times New Roman"/>
          <w:b/>
        </w:rPr>
      </w:pPr>
    </w:p>
    <w:p w14:paraId="23B2055F" w14:textId="77777777" w:rsidR="009F06CD" w:rsidRDefault="009F06CD" w:rsidP="00C300C9">
      <w:pPr>
        <w:jc w:val="center"/>
        <w:rPr>
          <w:rFonts w:eastAsia="Times New Roman"/>
          <w:b/>
        </w:rPr>
      </w:pPr>
    </w:p>
    <w:p w14:paraId="2602F805" w14:textId="77777777" w:rsidR="009F06CD" w:rsidRDefault="009F06CD" w:rsidP="00C300C9">
      <w:pPr>
        <w:jc w:val="center"/>
        <w:rPr>
          <w:rFonts w:eastAsia="Times New Roman"/>
          <w:b/>
        </w:rPr>
      </w:pPr>
    </w:p>
    <w:p w14:paraId="020EB02D" w14:textId="77777777" w:rsidR="009F06CD" w:rsidRDefault="009F06CD" w:rsidP="00C300C9">
      <w:pPr>
        <w:jc w:val="center"/>
        <w:rPr>
          <w:rFonts w:eastAsia="Times New Roman"/>
          <w:b/>
        </w:rPr>
      </w:pPr>
    </w:p>
    <w:p w14:paraId="2DE7594F" w14:textId="05B1B449" w:rsidR="00C300C9" w:rsidRDefault="00C300C9" w:rsidP="00C300C9">
      <w:pPr>
        <w:jc w:val="center"/>
        <w:rPr>
          <w:rFonts w:eastAsia="Times New Roman"/>
          <w:b/>
        </w:rPr>
      </w:pPr>
      <w:r w:rsidRPr="00C300C9">
        <w:rPr>
          <w:rFonts w:eastAsia="Times New Roman"/>
          <w:b/>
        </w:rPr>
        <w:t>Health Policy Brief Part I</w:t>
      </w:r>
    </w:p>
    <w:p w14:paraId="1B189AB5" w14:textId="77777777" w:rsidR="009F06CD" w:rsidRDefault="009F06CD" w:rsidP="00C300C9">
      <w:pPr>
        <w:jc w:val="center"/>
        <w:rPr>
          <w:rFonts w:eastAsia="Times New Roman"/>
        </w:rPr>
      </w:pPr>
    </w:p>
    <w:p w14:paraId="3891363E" w14:textId="77777777" w:rsidR="009F06CD" w:rsidRDefault="009F06CD" w:rsidP="00C300C9">
      <w:pPr>
        <w:jc w:val="center"/>
        <w:rPr>
          <w:rFonts w:eastAsia="Times New Roman"/>
        </w:rPr>
      </w:pPr>
    </w:p>
    <w:p w14:paraId="24358D5F" w14:textId="77777777" w:rsidR="009F06CD" w:rsidRDefault="009F06CD" w:rsidP="00C300C9">
      <w:pPr>
        <w:jc w:val="center"/>
        <w:rPr>
          <w:rFonts w:eastAsia="Times New Roman"/>
        </w:rPr>
      </w:pPr>
    </w:p>
    <w:p w14:paraId="2143596D" w14:textId="77777777" w:rsidR="009F06CD" w:rsidRDefault="009F06CD" w:rsidP="00C300C9">
      <w:pPr>
        <w:jc w:val="center"/>
        <w:rPr>
          <w:rFonts w:eastAsia="Times New Roman"/>
        </w:rPr>
      </w:pPr>
    </w:p>
    <w:p w14:paraId="65BDFE8B" w14:textId="357D416A" w:rsidR="009F06CD" w:rsidRDefault="009F06CD" w:rsidP="00C300C9">
      <w:pPr>
        <w:jc w:val="center"/>
        <w:rPr>
          <w:rFonts w:eastAsia="Times New Roman"/>
        </w:rPr>
      </w:pPr>
      <w:r>
        <w:rPr>
          <w:rFonts w:eastAsia="Times New Roman"/>
        </w:rPr>
        <w:t>Name</w:t>
      </w:r>
    </w:p>
    <w:p w14:paraId="5486FE26" w14:textId="2D3C393D" w:rsidR="009F06CD" w:rsidRDefault="009F06CD" w:rsidP="00C300C9">
      <w:pPr>
        <w:jc w:val="center"/>
        <w:rPr>
          <w:rFonts w:eastAsia="Times New Roman"/>
        </w:rPr>
      </w:pPr>
      <w:r>
        <w:rPr>
          <w:rFonts w:eastAsia="Times New Roman"/>
        </w:rPr>
        <w:t>Institution</w:t>
      </w:r>
    </w:p>
    <w:p w14:paraId="3610DB72" w14:textId="615E2121" w:rsidR="009F06CD" w:rsidRDefault="009F06CD" w:rsidP="00C300C9">
      <w:pPr>
        <w:jc w:val="center"/>
        <w:rPr>
          <w:rFonts w:eastAsia="Times New Roman"/>
        </w:rPr>
      </w:pPr>
      <w:r>
        <w:rPr>
          <w:rFonts w:eastAsia="Times New Roman"/>
        </w:rPr>
        <w:t>Course</w:t>
      </w:r>
    </w:p>
    <w:p w14:paraId="383D0C10" w14:textId="716BD1C0" w:rsidR="009F06CD" w:rsidRDefault="009F06CD" w:rsidP="00C300C9">
      <w:pPr>
        <w:jc w:val="center"/>
        <w:rPr>
          <w:rFonts w:eastAsia="Times New Roman"/>
        </w:rPr>
      </w:pPr>
      <w:r>
        <w:rPr>
          <w:rFonts w:eastAsia="Times New Roman"/>
        </w:rPr>
        <w:t>Instructor</w:t>
      </w:r>
    </w:p>
    <w:p w14:paraId="3E2EB89C" w14:textId="0D1F0D78" w:rsidR="009F06CD" w:rsidRDefault="009F06CD" w:rsidP="00C300C9">
      <w:pPr>
        <w:jc w:val="center"/>
        <w:rPr>
          <w:rFonts w:eastAsia="Times New Roman"/>
        </w:rPr>
      </w:pPr>
      <w:r>
        <w:rPr>
          <w:rFonts w:eastAsia="Times New Roman"/>
        </w:rPr>
        <w:t>Date</w:t>
      </w:r>
    </w:p>
    <w:p w14:paraId="0159D2A6" w14:textId="77777777" w:rsidR="009F06CD" w:rsidRDefault="009F06CD" w:rsidP="009F06CD">
      <w:pPr>
        <w:jc w:val="center"/>
        <w:rPr>
          <w:rFonts w:eastAsia="Times New Roman"/>
          <w:b/>
        </w:rPr>
      </w:pPr>
    </w:p>
    <w:p w14:paraId="1783E6BB" w14:textId="77777777" w:rsidR="009F06CD" w:rsidRDefault="009F06CD" w:rsidP="009F06CD">
      <w:pPr>
        <w:jc w:val="center"/>
        <w:rPr>
          <w:rFonts w:eastAsia="Times New Roman"/>
          <w:b/>
        </w:rPr>
      </w:pPr>
    </w:p>
    <w:p w14:paraId="780B7E2C" w14:textId="77777777" w:rsidR="009F06CD" w:rsidRDefault="009F06CD" w:rsidP="009F06CD">
      <w:pPr>
        <w:jc w:val="center"/>
        <w:rPr>
          <w:rFonts w:eastAsia="Times New Roman"/>
          <w:b/>
        </w:rPr>
      </w:pPr>
    </w:p>
    <w:p w14:paraId="17FF3280" w14:textId="77777777" w:rsidR="009F06CD" w:rsidRDefault="009F06CD" w:rsidP="009F06CD">
      <w:pPr>
        <w:jc w:val="center"/>
        <w:rPr>
          <w:rFonts w:eastAsia="Times New Roman"/>
          <w:b/>
        </w:rPr>
      </w:pPr>
    </w:p>
    <w:p w14:paraId="3DEB4DB3" w14:textId="77777777" w:rsidR="009F06CD" w:rsidRDefault="009F06CD" w:rsidP="009F06CD">
      <w:pPr>
        <w:jc w:val="center"/>
        <w:rPr>
          <w:rFonts w:eastAsia="Times New Roman"/>
          <w:b/>
        </w:rPr>
      </w:pPr>
    </w:p>
    <w:p w14:paraId="258CBDC1" w14:textId="77777777" w:rsidR="009F06CD" w:rsidRDefault="009F06CD" w:rsidP="009F06CD">
      <w:pPr>
        <w:jc w:val="center"/>
        <w:rPr>
          <w:rFonts w:eastAsia="Times New Roman"/>
          <w:b/>
        </w:rPr>
      </w:pPr>
    </w:p>
    <w:p w14:paraId="0D1F17F2" w14:textId="77777777" w:rsidR="009F06CD" w:rsidRDefault="009F06CD" w:rsidP="009F06CD">
      <w:pPr>
        <w:jc w:val="center"/>
        <w:rPr>
          <w:rFonts w:eastAsia="Times New Roman"/>
          <w:b/>
        </w:rPr>
      </w:pPr>
    </w:p>
    <w:p w14:paraId="2A07E29B" w14:textId="77777777" w:rsidR="009F06CD" w:rsidRDefault="009F06CD" w:rsidP="009F06CD">
      <w:pPr>
        <w:jc w:val="center"/>
        <w:rPr>
          <w:rFonts w:eastAsia="Times New Roman"/>
          <w:b/>
        </w:rPr>
      </w:pPr>
    </w:p>
    <w:p w14:paraId="7B545E53" w14:textId="0D5E0FCB" w:rsidR="009F06CD" w:rsidRPr="00C300C9" w:rsidRDefault="009F06CD" w:rsidP="009F06CD">
      <w:pPr>
        <w:contextualSpacing/>
        <w:jc w:val="center"/>
        <w:rPr>
          <w:b/>
        </w:rPr>
      </w:pPr>
      <w:bookmarkStart w:id="0" w:name="_GoBack"/>
      <w:bookmarkEnd w:id="0"/>
      <w:r w:rsidRPr="00C300C9">
        <w:rPr>
          <w:rFonts w:eastAsia="Times New Roman"/>
          <w:b/>
        </w:rPr>
        <w:lastRenderedPageBreak/>
        <w:t>Health Policy Brief Part I</w:t>
      </w:r>
    </w:p>
    <w:p w14:paraId="1E3FBEED" w14:textId="77777777" w:rsidR="00A92017" w:rsidRPr="005F3D45" w:rsidRDefault="00A92017" w:rsidP="00A92017">
      <w:pPr>
        <w:spacing w:before="100" w:beforeAutospacing="1" w:after="100" w:afterAutospacing="1"/>
        <w:ind w:firstLine="720"/>
        <w:contextualSpacing/>
        <w:rPr>
          <w:rFonts w:eastAsia="Times New Roman" w:cs="Times New Roman"/>
          <w:kern w:val="0"/>
          <w:szCs w:val="24"/>
          <w14:ligatures w14:val="none"/>
        </w:rPr>
      </w:pPr>
      <w:r>
        <w:rPr>
          <w:rFonts w:eastAsia="Times New Roman"/>
        </w:rPr>
        <w:t>The COVID-19 outbreak has significantly impacted the healthcare sector in the United States, with telemedicine becoming a crucial tool in the continuation of patient care amidst the outbreak. Therefore, many states adopted short-term measures to increase the availability of telehealth, like relaxing licensure necessities, increasing coverage under public and private insurance, and raising reimbursement rates. These changes helped in the exponential growth of telehealth usage allowing patients to have more flexible options of accessing health care services. However, the future of these changes as the pandemic continues to reduce is yet to be determined.</w:t>
      </w:r>
    </w:p>
    <w:p w14:paraId="0E8C4A2A" w14:textId="77777777" w:rsidR="00A92017" w:rsidRPr="00A92017" w:rsidRDefault="00A92017" w:rsidP="00A92017">
      <w:pPr>
        <w:contextualSpacing/>
        <w:jc w:val="center"/>
        <w:rPr>
          <w:rFonts w:cs="Times New Roman"/>
          <w:b/>
          <w:bCs/>
          <w:kern w:val="0"/>
          <w:sz w:val="27"/>
          <w:szCs w:val="27"/>
          <w14:ligatures w14:val="none"/>
        </w:rPr>
      </w:pPr>
      <w:r w:rsidRPr="00A92017">
        <w:rPr>
          <w:b/>
        </w:rPr>
        <w:t>Purpose Statement</w:t>
      </w:r>
    </w:p>
    <w:p w14:paraId="3705EC59" w14:textId="34616820" w:rsidR="00A92017" w:rsidRDefault="00A92017" w:rsidP="00A92017">
      <w:pPr>
        <w:spacing w:before="100" w:beforeAutospacing="1" w:after="100" w:afterAutospacing="1"/>
        <w:ind w:firstLine="720"/>
        <w:contextualSpacing/>
        <w:rPr>
          <w:rFonts w:eastAsia="Times New Roman"/>
        </w:rPr>
      </w:pPr>
      <w:r>
        <w:rPr>
          <w:rFonts w:eastAsia="Times New Roman"/>
        </w:rPr>
        <w:t xml:space="preserve">The goal of this policy brief is to call for a </w:t>
      </w:r>
      <w:r w:rsidRPr="005F3D45">
        <w:rPr>
          <w:rFonts w:eastAsia="Times New Roman" w:cs="Times New Roman"/>
          <w:kern w:val="0"/>
          <w:szCs w:val="24"/>
          <w14:ligatures w14:val="none"/>
        </w:rPr>
        <w:t>permanent</w:t>
      </w:r>
      <w:r>
        <w:rPr>
          <w:rFonts w:eastAsia="Times New Roman" w:cs="Times New Roman"/>
          <w:kern w:val="0"/>
          <w:szCs w:val="24"/>
          <w14:ligatures w14:val="none"/>
        </w:rPr>
        <w:t xml:space="preserve"> use of</w:t>
      </w:r>
      <w:r>
        <w:rPr>
          <w:rFonts w:eastAsia="Times New Roman"/>
        </w:rPr>
        <w:t xml:space="preserve"> expanded telehealth services at the state and national levels. This brief will support for the continuation and further expansion of telehealth policies by outlining the advantages seen during the pandemic, such as greater accessibility of health services for marginalized groups and better patient outcomes. Moreover, it will discuss the magnitudes of barriers that might arise in future, including, equal access, quality issues, among others before presenting policy imperatives that can be instrumental in further advancement of telehealth in the health system. The aim is to involve stakeholders such as policymakers, healthcare consumer and providers, and community in the debate on the sustainable advantages of telehealth expansion and the process of institutionalizing it into the American health system.</w:t>
      </w:r>
    </w:p>
    <w:p w14:paraId="70A929F4" w14:textId="77777777" w:rsidR="008F2E09" w:rsidRDefault="008F2E09" w:rsidP="008F2E09">
      <w:pPr>
        <w:contextualSpacing/>
        <w:jc w:val="center"/>
        <w:rPr>
          <w:rFonts w:eastAsia="Times New Roman"/>
          <w:b/>
        </w:rPr>
      </w:pPr>
      <w:r w:rsidRPr="008F2E09">
        <w:rPr>
          <w:rFonts w:eastAsia="Times New Roman"/>
          <w:b/>
        </w:rPr>
        <w:t>Healthcare Issue</w:t>
      </w:r>
    </w:p>
    <w:p w14:paraId="6EA0690C" w14:textId="097433EE" w:rsidR="008F2E09" w:rsidRDefault="008F2E09" w:rsidP="008F2E09">
      <w:pPr>
        <w:ind w:firstLine="720"/>
        <w:contextualSpacing/>
        <w:rPr>
          <w:rFonts w:eastAsia="Times New Roman"/>
        </w:rPr>
      </w:pPr>
      <w:r>
        <w:t>In</w:t>
      </w:r>
      <w:r>
        <w:rPr>
          <w:rFonts w:eastAsia="Times New Roman"/>
        </w:rPr>
        <w:t xml:space="preserve">adequate healthcare </w:t>
      </w:r>
      <w:r>
        <w:t xml:space="preserve">access </w:t>
      </w:r>
      <w:r>
        <w:rPr>
          <w:rFonts w:eastAsia="Times New Roman"/>
        </w:rPr>
        <w:t xml:space="preserve">has been a longstanding problem in America, especially in the rural areas, and other deprived areas of the community where there are few health care </w:t>
      </w:r>
      <w:r>
        <w:rPr>
          <w:rFonts w:eastAsia="Times New Roman"/>
        </w:rPr>
        <w:lastRenderedPageBreak/>
        <w:t>institutions and a shortage of health care practitioners</w:t>
      </w:r>
      <w:r w:rsidR="009B14C0">
        <w:rPr>
          <w:rFonts w:eastAsia="Times New Roman"/>
        </w:rPr>
        <w:t xml:space="preserve"> (</w:t>
      </w:r>
      <w:r w:rsidR="009B14C0">
        <w:t>Coombs et al., 2021)</w:t>
      </w:r>
      <w:r>
        <w:rPr>
          <w:rFonts w:eastAsia="Times New Roman"/>
        </w:rPr>
        <w:t xml:space="preserve">. </w:t>
      </w:r>
      <w:r>
        <w:t>P</w:t>
      </w:r>
      <w:r>
        <w:rPr>
          <w:rFonts w:eastAsia="Times New Roman"/>
        </w:rPr>
        <w:t xml:space="preserve">atients </w:t>
      </w:r>
      <w:r>
        <w:t>in these regions experience major challenges</w:t>
      </w:r>
      <w:r>
        <w:rPr>
          <w:rFonts w:eastAsia="Times New Roman"/>
        </w:rPr>
        <w:t xml:space="preserve"> due to long distances to the few available facilities, inadequate transport, and a shortage of healthcare personnel. </w:t>
      </w:r>
      <w:r>
        <w:t>These g</w:t>
      </w:r>
      <w:r>
        <w:rPr>
          <w:rFonts w:eastAsia="Times New Roman"/>
        </w:rPr>
        <w:t xml:space="preserve">aps in access to quality health care worsen the general health status, prolong disease </w:t>
      </w:r>
      <w:r>
        <w:t>diagnosis</w:t>
      </w:r>
      <w:r>
        <w:rPr>
          <w:rFonts w:eastAsia="Times New Roman"/>
        </w:rPr>
        <w:t>, and increase the prevalence of chronic diseases and death rates among these populations.</w:t>
      </w:r>
    </w:p>
    <w:p w14:paraId="30300E5F" w14:textId="77777777" w:rsidR="008F2E09" w:rsidRDefault="008F2E09" w:rsidP="008F2E09">
      <w:pPr>
        <w:ind w:firstLine="720"/>
        <w:contextualSpacing/>
        <w:rPr>
          <w:rFonts w:eastAsia="Times New Roman"/>
        </w:rPr>
      </w:pPr>
      <w:r>
        <w:t>T</w:t>
      </w:r>
      <w:r>
        <w:rPr>
          <w:rFonts w:eastAsia="Times New Roman"/>
        </w:rPr>
        <w:t>he COVID-19 outbreak made in-person healthcare services even harder to attain because of the establishment of lockdowns, social distancing, and the need to safeguard the health of at-risk populations. Telehealth then became one of the significant solutions that were needed at this time allowing patients to gain access to care without any need to travel. Telehealth services facilitated consultations, health condition tracking, and mental health support while relieving pressure on</w:t>
      </w:r>
      <w:r>
        <w:t xml:space="preserve"> already over pressured</w:t>
      </w:r>
      <w:r>
        <w:rPr>
          <w:rFonts w:eastAsia="Times New Roman"/>
        </w:rPr>
        <w:t xml:space="preserve"> healthcare facilities.</w:t>
      </w:r>
    </w:p>
    <w:p w14:paraId="1225C32F" w14:textId="1C03DE52" w:rsidR="008F2E09" w:rsidRDefault="008F2E09" w:rsidP="008F2E09">
      <w:pPr>
        <w:ind w:firstLine="720"/>
        <w:contextualSpacing/>
      </w:pPr>
      <w:r>
        <w:rPr>
          <w:rFonts w:eastAsia="Times New Roman"/>
        </w:rPr>
        <w:t xml:space="preserve">The </w:t>
      </w:r>
      <w:r>
        <w:t>effectiveness</w:t>
      </w:r>
      <w:r>
        <w:rPr>
          <w:rFonts w:eastAsia="Times New Roman"/>
        </w:rPr>
        <w:t xml:space="preserve"> of telehealth over the pandemic shows that it can be a viable solution to the </w:t>
      </w:r>
      <w:r>
        <w:t xml:space="preserve">issue of limited </w:t>
      </w:r>
      <w:r>
        <w:rPr>
          <w:rFonts w:eastAsia="Times New Roman"/>
        </w:rPr>
        <w:t xml:space="preserve">healthcare </w:t>
      </w:r>
      <w:r>
        <w:t>access in</w:t>
      </w:r>
      <w:r>
        <w:rPr>
          <w:rFonts w:eastAsia="Times New Roman"/>
        </w:rPr>
        <w:t xml:space="preserve"> the future</w:t>
      </w:r>
      <w:r w:rsidR="00E45DCF">
        <w:rPr>
          <w:rFonts w:eastAsia="Times New Roman"/>
        </w:rPr>
        <w:t xml:space="preserve"> (</w:t>
      </w:r>
      <w:proofErr w:type="spellStart"/>
      <w:r w:rsidR="00E45DCF">
        <w:t>Hatef</w:t>
      </w:r>
      <w:proofErr w:type="spellEnd"/>
      <w:r w:rsidR="00E45DCF">
        <w:t xml:space="preserve"> et al., 2024)</w:t>
      </w:r>
      <w:r>
        <w:rPr>
          <w:rFonts w:eastAsia="Times New Roman"/>
        </w:rPr>
        <w:t xml:space="preserve">. One of the key areas that can benefit from the increased use of telehealth services is in the delivery of health care to the </w:t>
      </w:r>
      <w:r>
        <w:t>often-neglected</w:t>
      </w:r>
      <w:r>
        <w:rPr>
          <w:rFonts w:eastAsia="Times New Roman"/>
        </w:rPr>
        <w:t xml:space="preserve"> population. This approach not only opens up access but also attempts to foster health equity and guarantee that all patients in all areas of the country can access timely and quality care. Therefore, there is an urgent need to come up with policies that will </w:t>
      </w:r>
      <w:r>
        <w:t>support</w:t>
      </w:r>
      <w:r>
        <w:rPr>
          <w:rFonts w:eastAsia="Times New Roman"/>
        </w:rPr>
        <w:t xml:space="preserve"> the </w:t>
      </w:r>
      <w:r>
        <w:t xml:space="preserve">continued </w:t>
      </w:r>
      <w:r>
        <w:rPr>
          <w:rFonts w:eastAsia="Times New Roman"/>
        </w:rPr>
        <w:t>development and integration of telehealth into the healthcare sector.</w:t>
      </w:r>
    </w:p>
    <w:p w14:paraId="10A85AB6" w14:textId="77777777" w:rsidR="005C2592" w:rsidRDefault="005C2592" w:rsidP="005C2592">
      <w:pPr>
        <w:contextualSpacing/>
        <w:jc w:val="center"/>
        <w:rPr>
          <w:rFonts w:eastAsia="Times New Roman"/>
          <w:b/>
        </w:rPr>
      </w:pPr>
      <w:r w:rsidRPr="005C2592">
        <w:rPr>
          <w:rFonts w:eastAsia="Times New Roman"/>
          <w:b/>
        </w:rPr>
        <w:t>Potential Stakeholders</w:t>
      </w:r>
    </w:p>
    <w:p w14:paraId="20089797" w14:textId="622C17E9" w:rsidR="005C2592" w:rsidRDefault="005C2592" w:rsidP="005C2592">
      <w:pPr>
        <w:ind w:firstLine="720"/>
        <w:contextualSpacing/>
        <w:rPr>
          <w:rFonts w:eastAsia="Times New Roman"/>
        </w:rPr>
      </w:pPr>
      <w:r>
        <w:t>Expanding t</w:t>
      </w:r>
      <w:r>
        <w:rPr>
          <w:rFonts w:eastAsia="Times New Roman"/>
        </w:rPr>
        <w:t xml:space="preserve">elehealth services have the ability to attract support from various </w:t>
      </w:r>
      <w:r>
        <w:t>stakeholders with each having diverse</w:t>
      </w:r>
      <w:r>
        <w:rPr>
          <w:rFonts w:eastAsia="Times New Roman"/>
        </w:rPr>
        <w:t xml:space="preserve"> reasons and aims to support the expansion of the initiative. The most significant beneficiaries of increased telehealth adoption will be patients, especially those in rural, underprivileged, and chronic illness categories</w:t>
      </w:r>
      <w:r w:rsidR="00546AC0">
        <w:rPr>
          <w:rFonts w:eastAsia="Times New Roman"/>
        </w:rPr>
        <w:t xml:space="preserve"> (</w:t>
      </w:r>
      <w:r w:rsidR="00546AC0">
        <w:t>Lestari et al., 2024)</w:t>
      </w:r>
      <w:r>
        <w:rPr>
          <w:rFonts w:eastAsia="Times New Roman"/>
        </w:rPr>
        <w:t xml:space="preserve">. </w:t>
      </w:r>
      <w:r>
        <w:t>These</w:t>
      </w:r>
      <w:r>
        <w:rPr>
          <w:rFonts w:eastAsia="Times New Roman"/>
        </w:rPr>
        <w:t xml:space="preserve"> people </w:t>
      </w:r>
      <w:r>
        <w:rPr>
          <w:rFonts w:eastAsia="Times New Roman"/>
        </w:rPr>
        <w:lastRenderedPageBreak/>
        <w:t xml:space="preserve">benefit from telehealth because they do not have to travel long distances and experience long waiting times for visits, </w:t>
      </w:r>
      <w:r>
        <w:t xml:space="preserve">especially </w:t>
      </w:r>
      <w:r>
        <w:rPr>
          <w:rFonts w:eastAsia="Times New Roman"/>
        </w:rPr>
        <w:t xml:space="preserve">when seeing a physician in person. Older patients or those with restricted mobility would also likely endorse the policy since telehealth presents an effective way to </w:t>
      </w:r>
      <w:r>
        <w:t>access</w:t>
      </w:r>
      <w:r>
        <w:rPr>
          <w:rFonts w:eastAsia="Times New Roman"/>
        </w:rPr>
        <w:t xml:space="preserve"> healthcare </w:t>
      </w:r>
      <w:r>
        <w:t>options</w:t>
      </w:r>
      <w:r>
        <w:rPr>
          <w:rFonts w:eastAsia="Times New Roman"/>
        </w:rPr>
        <w:t xml:space="preserve"> without physically being there.</w:t>
      </w:r>
    </w:p>
    <w:p w14:paraId="69CB445E" w14:textId="6D2EDB96" w:rsidR="005C2592" w:rsidRDefault="005C2592" w:rsidP="005C2592">
      <w:pPr>
        <w:ind w:firstLine="720"/>
        <w:contextualSpacing/>
        <w:rPr>
          <w:rFonts w:eastAsia="Times New Roman"/>
        </w:rPr>
      </w:pPr>
      <w:r>
        <w:rPr>
          <w:rFonts w:eastAsia="Times New Roman"/>
        </w:rPr>
        <w:t>Other key stakeholders include healthcare providers. Telehealth is a valuable innovation for physicians, nurses, and specialists as they can use it to expand their practices, avoid becoming overburdened, and provide long-term care for patients with chronic diseases</w:t>
      </w:r>
      <w:r w:rsidR="00EB4222">
        <w:rPr>
          <w:rFonts w:eastAsia="Times New Roman"/>
        </w:rPr>
        <w:t xml:space="preserve"> (</w:t>
      </w:r>
      <w:proofErr w:type="spellStart"/>
      <w:r w:rsidR="00EB4222">
        <w:t>Gajarawala</w:t>
      </w:r>
      <w:proofErr w:type="spellEnd"/>
      <w:r w:rsidR="00EB4222">
        <w:t xml:space="preserve"> &amp; </w:t>
      </w:r>
      <w:proofErr w:type="spellStart"/>
      <w:r w:rsidR="00EB4222">
        <w:t>Pelkowski</w:t>
      </w:r>
      <w:proofErr w:type="spellEnd"/>
      <w:r w:rsidR="00EB4222">
        <w:t>, 2021)</w:t>
      </w:r>
      <w:r>
        <w:rPr>
          <w:rFonts w:eastAsia="Times New Roman"/>
        </w:rPr>
        <w:t xml:space="preserve">. With telehealth, providers can expand their practice and reach out to more clients without having to spend a lot on overhead expenses. </w:t>
      </w:r>
      <w:r>
        <w:t>M</w:t>
      </w:r>
      <w:r w:rsidRPr="00B17994">
        <w:rPr>
          <w:bCs/>
        </w:rPr>
        <w:t>ental health professionals</w:t>
      </w:r>
      <w:r>
        <w:rPr>
          <w:rFonts w:eastAsia="Times New Roman"/>
        </w:rPr>
        <w:t xml:space="preserve"> may also support telehealth </w:t>
      </w:r>
      <w:r>
        <w:t xml:space="preserve">since </w:t>
      </w:r>
      <w:r>
        <w:rPr>
          <w:rFonts w:eastAsia="Times New Roman"/>
        </w:rPr>
        <w:t>it has been shown to increase the availability of mental health services, which are limited in many cases</w:t>
      </w:r>
      <w:r>
        <w:t xml:space="preserve"> where there are few resources</w:t>
      </w:r>
      <w:r>
        <w:rPr>
          <w:rFonts w:eastAsia="Times New Roman"/>
        </w:rPr>
        <w:t>.</w:t>
      </w:r>
    </w:p>
    <w:p w14:paraId="1AAAFF16" w14:textId="5E9A8ACA" w:rsidR="005C2592" w:rsidRDefault="005C2592" w:rsidP="005C2592">
      <w:pPr>
        <w:ind w:firstLine="720"/>
        <w:contextualSpacing/>
      </w:pPr>
      <w:r>
        <w:t>Further, t</w:t>
      </w:r>
      <w:r>
        <w:rPr>
          <w:rFonts w:eastAsia="Times New Roman"/>
        </w:rPr>
        <w:t>elehealth will likely be endorsed by public health organizations and nonprofits that advocate for health equity as a way of bridging disparities in access to health care.</w:t>
      </w:r>
      <w:r>
        <w:t xml:space="preserve"> B</w:t>
      </w:r>
      <w:r>
        <w:rPr>
          <w:rFonts w:eastAsia="Times New Roman"/>
        </w:rPr>
        <w:t>y addressing the needs of the vulnerable populations, telehealth can significantly contribute to the improvement of population health. Finally, insurance providers and government institutions may support telehealth policies because they are cost-effective and beneficial to patient health, which may lower future costs of untreated diseases.</w:t>
      </w:r>
    </w:p>
    <w:p w14:paraId="75280E60" w14:textId="77777777" w:rsidR="00997884" w:rsidRDefault="00997884" w:rsidP="00997884">
      <w:pPr>
        <w:contextualSpacing/>
        <w:jc w:val="center"/>
        <w:rPr>
          <w:rFonts w:eastAsia="Times New Roman"/>
          <w:b/>
        </w:rPr>
      </w:pPr>
      <w:r w:rsidRPr="00997884">
        <w:rPr>
          <w:rFonts w:eastAsia="Times New Roman"/>
          <w:b/>
        </w:rPr>
        <w:t>Legislation</w:t>
      </w:r>
    </w:p>
    <w:p w14:paraId="2DD31C41" w14:textId="5EDAC8BD" w:rsidR="00997884" w:rsidRDefault="00997884" w:rsidP="00997884">
      <w:pPr>
        <w:ind w:firstLine="720"/>
        <w:contextualSpacing/>
        <w:rPr>
          <w:rFonts w:eastAsia="Times New Roman"/>
        </w:rPr>
      </w:pPr>
      <w:r>
        <w:rPr>
          <w:rFonts w:eastAsia="Times New Roman"/>
        </w:rPr>
        <w:t>The most recent congressional attempt to address the growth of telehealth services is the Telehealth Modernization Act (S.3967)</w:t>
      </w:r>
      <w:r>
        <w:t xml:space="preserve">, </w:t>
      </w:r>
      <w:r>
        <w:rPr>
          <w:rFonts w:eastAsia="Times New Roman"/>
        </w:rPr>
        <w:t xml:space="preserve">a federal bill that seeks to build on and extend the telehealth </w:t>
      </w:r>
      <w:r>
        <w:t>options</w:t>
      </w:r>
      <w:r>
        <w:rPr>
          <w:rFonts w:eastAsia="Times New Roman"/>
        </w:rPr>
        <w:t xml:space="preserve"> provided during the COVID-19 crisis</w:t>
      </w:r>
      <w:r w:rsidR="003034CA">
        <w:rPr>
          <w:rFonts w:eastAsia="Times New Roman"/>
        </w:rPr>
        <w:t xml:space="preserve"> (</w:t>
      </w:r>
      <w:r w:rsidR="003034CA">
        <w:t xml:space="preserve">Congress.Gov, </w:t>
      </w:r>
      <w:proofErr w:type="spellStart"/>
      <w:r w:rsidR="003034CA">
        <w:t>n.d</w:t>
      </w:r>
      <w:proofErr w:type="spellEnd"/>
      <w:r w:rsidR="003034CA">
        <w:t>)</w:t>
      </w:r>
      <w:r>
        <w:rPr>
          <w:rFonts w:eastAsia="Times New Roman"/>
        </w:rPr>
        <w:t>. Th</w:t>
      </w:r>
      <w:r>
        <w:t>e</w:t>
      </w:r>
      <w:r>
        <w:rPr>
          <w:rFonts w:eastAsia="Times New Roman"/>
        </w:rPr>
        <w:t xml:space="preserve"> </w:t>
      </w:r>
      <w:r>
        <w:t>bill is supported</w:t>
      </w:r>
      <w:r>
        <w:rPr>
          <w:rFonts w:eastAsia="Times New Roman"/>
        </w:rPr>
        <w:t xml:space="preserve"> at the national level and is likely to establish a new permanent model for the delivery of telehealth services in the US healthcare system, especially within Medicare.</w:t>
      </w:r>
    </w:p>
    <w:p w14:paraId="22469FFC" w14:textId="1DEC083E" w:rsidR="00997884" w:rsidRDefault="00997884" w:rsidP="00997884">
      <w:pPr>
        <w:ind w:firstLine="720"/>
        <w:contextualSpacing/>
        <w:rPr>
          <w:rFonts w:eastAsia="Times New Roman"/>
        </w:rPr>
      </w:pPr>
      <w:r>
        <w:rPr>
          <w:rFonts w:eastAsia="Times New Roman"/>
        </w:rPr>
        <w:lastRenderedPageBreak/>
        <w:t>The Telehealth Modernization Act aims at solving geographical and site-based constraints that has been a barrier to the delivery of telehealth services. For example, the concept contained in this bill permanently reauthorizes rural health clinics and federally qualified health centers to offer distant telehealth services to patients</w:t>
      </w:r>
      <w:r w:rsidR="003034CA">
        <w:rPr>
          <w:rFonts w:eastAsia="Times New Roman"/>
        </w:rPr>
        <w:t xml:space="preserve"> (</w:t>
      </w:r>
      <w:r w:rsidR="003034CA">
        <w:t xml:space="preserve">Congress.Gov, </w:t>
      </w:r>
      <w:proofErr w:type="spellStart"/>
      <w:r w:rsidR="003034CA">
        <w:t>n.d</w:t>
      </w:r>
      <w:proofErr w:type="spellEnd"/>
      <w:r w:rsidR="003034CA">
        <w:t>)</w:t>
      </w:r>
      <w:r>
        <w:rPr>
          <w:rFonts w:eastAsia="Times New Roman"/>
        </w:rPr>
        <w:t xml:space="preserve">. </w:t>
      </w:r>
      <w:r>
        <w:t>The room is to allow these professionals and healthcare centers offer telehealth services without any restrictions. T</w:t>
      </w:r>
      <w:r>
        <w:rPr>
          <w:rFonts w:eastAsia="Times New Roman"/>
        </w:rPr>
        <w:t xml:space="preserve">his provision </w:t>
      </w:r>
      <w:r>
        <w:t xml:space="preserve">is essential </w:t>
      </w:r>
      <w:r>
        <w:rPr>
          <w:rFonts w:eastAsia="Times New Roman"/>
        </w:rPr>
        <w:t xml:space="preserve">to ensure that adequate care is </w:t>
      </w:r>
      <w:r>
        <w:t>available</w:t>
      </w:r>
      <w:r>
        <w:rPr>
          <w:rFonts w:eastAsia="Times New Roman"/>
        </w:rPr>
        <w:t xml:space="preserve"> especially in rural or hard to reach regions where there are few doctors. Furthermore, the bill permits patients’ homes to be included as the originating site for telehealth services for all specialties that have not been previously specified. This </w:t>
      </w:r>
      <w:r>
        <w:t>will make</w:t>
      </w:r>
      <w:r>
        <w:rPr>
          <w:rFonts w:eastAsia="Times New Roman"/>
        </w:rPr>
        <w:t xml:space="preserve"> it easier for patient</w:t>
      </w:r>
      <w:r>
        <w:t>s</w:t>
      </w:r>
      <w:r>
        <w:rPr>
          <w:rFonts w:eastAsia="Times New Roman"/>
        </w:rPr>
        <w:t xml:space="preserve"> to have an access to doctors and other health care services providers</w:t>
      </w:r>
      <w:r>
        <w:t xml:space="preserve">, especially those with </w:t>
      </w:r>
      <w:r>
        <w:rPr>
          <w:rFonts w:eastAsia="Times New Roman"/>
        </w:rPr>
        <w:t xml:space="preserve">mobility </w:t>
      </w:r>
      <w:r>
        <w:t>complications, elderly,</w:t>
      </w:r>
      <w:r>
        <w:rPr>
          <w:rFonts w:eastAsia="Times New Roman"/>
        </w:rPr>
        <w:t xml:space="preserve"> or </w:t>
      </w:r>
      <w:r>
        <w:t>those</w:t>
      </w:r>
      <w:r>
        <w:rPr>
          <w:rFonts w:eastAsia="Times New Roman"/>
        </w:rPr>
        <w:t xml:space="preserve"> areas of residence</w:t>
      </w:r>
      <w:r>
        <w:t xml:space="preserve"> are from medical facilities</w:t>
      </w:r>
      <w:r>
        <w:rPr>
          <w:rFonts w:eastAsia="Times New Roman"/>
        </w:rPr>
        <w:t>.</w:t>
      </w:r>
    </w:p>
    <w:p w14:paraId="7D7FDF87" w14:textId="6B35CE64" w:rsidR="00997884" w:rsidRDefault="00997884" w:rsidP="00997884">
      <w:pPr>
        <w:ind w:firstLine="720"/>
        <w:contextualSpacing/>
      </w:pPr>
      <w:r>
        <w:rPr>
          <w:rFonts w:eastAsia="Times New Roman"/>
        </w:rPr>
        <w:t xml:space="preserve">Another significant feature of the Telehealth Modernization Act is its </w:t>
      </w:r>
      <w:r>
        <w:t xml:space="preserve">inclusivity </w:t>
      </w:r>
      <w:r>
        <w:rPr>
          <w:rFonts w:eastAsia="Times New Roman"/>
        </w:rPr>
        <w:t>for healthcare providers. Not restricting the types of practitioners, as delineated by the CMS, to provide telehealth services, the bill guarantees the involvement of numerous specialists in remote care deliveries</w:t>
      </w:r>
      <w:r w:rsidR="009A5674">
        <w:rPr>
          <w:rFonts w:eastAsia="Times New Roman"/>
        </w:rPr>
        <w:t xml:space="preserve"> (</w:t>
      </w:r>
      <w:r w:rsidR="009A5674">
        <w:t xml:space="preserve">Congress.Gov, </w:t>
      </w:r>
      <w:proofErr w:type="spellStart"/>
      <w:r w:rsidR="009A5674">
        <w:t>n.d</w:t>
      </w:r>
      <w:proofErr w:type="spellEnd"/>
      <w:r w:rsidR="009A5674">
        <w:t>)</w:t>
      </w:r>
      <w:r>
        <w:rPr>
          <w:rFonts w:eastAsia="Times New Roman"/>
        </w:rPr>
        <w:t>. This flexibility is important to meet the needs of patient</w:t>
      </w:r>
      <w:r>
        <w:t>s</w:t>
      </w:r>
      <w:r>
        <w:rPr>
          <w:rFonts w:eastAsia="Times New Roman"/>
        </w:rPr>
        <w:t xml:space="preserve"> as well as enhance the general health of </w:t>
      </w:r>
      <w:r>
        <w:t>diverse</w:t>
      </w:r>
      <w:r>
        <w:rPr>
          <w:rFonts w:eastAsia="Times New Roman"/>
        </w:rPr>
        <w:t xml:space="preserve"> individual</w:t>
      </w:r>
      <w:r>
        <w:t>, enhancing their general welfare</w:t>
      </w:r>
      <w:r>
        <w:rPr>
          <w:rFonts w:eastAsia="Times New Roman"/>
        </w:rPr>
        <w:t xml:space="preserve">. Consequently, this legislation has been welcomed with open arms by national organizations such as the American Association of Nurse Practitioners, as it can improve the availability and </w:t>
      </w:r>
      <w:r>
        <w:t>accessibility and equity</w:t>
      </w:r>
      <w:r>
        <w:rPr>
          <w:rFonts w:eastAsia="Times New Roman"/>
        </w:rPr>
        <w:t xml:space="preserve"> of healthcare services.</w:t>
      </w:r>
    </w:p>
    <w:p w14:paraId="0828A628" w14:textId="77777777" w:rsidR="00E53684" w:rsidRDefault="00541594" w:rsidP="00E53684">
      <w:pPr>
        <w:contextualSpacing/>
        <w:jc w:val="center"/>
        <w:rPr>
          <w:b/>
        </w:rPr>
      </w:pPr>
      <w:r w:rsidRPr="00581D01">
        <w:rPr>
          <w:b/>
        </w:rPr>
        <w:t>Health Policy Brief</w:t>
      </w:r>
    </w:p>
    <w:p w14:paraId="104F4994" w14:textId="77777777" w:rsidR="00E53684" w:rsidRDefault="00E53684" w:rsidP="00E53684">
      <w:pPr>
        <w:ind w:firstLine="720"/>
        <w:contextualSpacing/>
        <w:rPr>
          <w:rFonts w:eastAsia="Times New Roman"/>
        </w:rPr>
      </w:pPr>
      <w:r>
        <w:rPr>
          <w:rFonts w:eastAsia="Times New Roman"/>
        </w:rPr>
        <w:t>The Health Policy Brief seek</w:t>
      </w:r>
      <w:r>
        <w:t>s</w:t>
      </w:r>
      <w:r>
        <w:rPr>
          <w:rFonts w:eastAsia="Times New Roman"/>
        </w:rPr>
        <w:t xml:space="preserve"> to propose a solution to this </w:t>
      </w:r>
      <w:r>
        <w:t>critical</w:t>
      </w:r>
      <w:r>
        <w:rPr>
          <w:rFonts w:eastAsia="Times New Roman"/>
        </w:rPr>
        <w:t xml:space="preserve"> problem</w:t>
      </w:r>
      <w:r>
        <w:t xml:space="preserve"> of inadequate access to medical solutions, especially in remote and underserved areas, supporting </w:t>
      </w:r>
      <w:r>
        <w:rPr>
          <w:rFonts w:eastAsia="Times New Roman"/>
        </w:rPr>
        <w:t xml:space="preserve">that the permanent expansion of telehealth should be made at both state and federal levels. The brief will </w:t>
      </w:r>
      <w:r>
        <w:rPr>
          <w:rFonts w:eastAsia="Times New Roman"/>
        </w:rPr>
        <w:lastRenderedPageBreak/>
        <w:t xml:space="preserve">focus on the inequalities of health care accessibility, which intensified during the COVID-19 pandemic, and </w:t>
      </w:r>
      <w:r>
        <w:t>proof</w:t>
      </w:r>
      <w:r>
        <w:rPr>
          <w:rFonts w:eastAsia="Times New Roman"/>
        </w:rPr>
        <w:t xml:space="preserve"> how telemedicine has </w:t>
      </w:r>
      <w:r>
        <w:t xml:space="preserve">effectively </w:t>
      </w:r>
      <w:r>
        <w:rPr>
          <w:rFonts w:eastAsia="Times New Roman"/>
        </w:rPr>
        <w:t xml:space="preserve">overcome these barriers. In line with the evidence gathered </w:t>
      </w:r>
      <w:r>
        <w:t>during</w:t>
      </w:r>
      <w:r>
        <w:rPr>
          <w:rFonts w:eastAsia="Times New Roman"/>
        </w:rPr>
        <w:t xml:space="preserve"> the pandemic and </w:t>
      </w:r>
      <w:r>
        <w:t>existing</w:t>
      </w:r>
      <w:r>
        <w:rPr>
          <w:rFonts w:eastAsia="Times New Roman"/>
        </w:rPr>
        <w:t xml:space="preserve"> telehealth programs, the brief will recommend the </w:t>
      </w:r>
      <w:r>
        <w:t>amendment</w:t>
      </w:r>
      <w:r>
        <w:rPr>
          <w:rFonts w:eastAsia="Times New Roman"/>
        </w:rPr>
        <w:t xml:space="preserve"> of policies that hinder telehealth access, especially licensure policies that limit access to telehealth services, as well as increased insurance reimbursement for telehealth services.</w:t>
      </w:r>
    </w:p>
    <w:p w14:paraId="1F16E573" w14:textId="7D430CCF" w:rsidR="00E53684" w:rsidRDefault="00E53684" w:rsidP="00E53684">
      <w:pPr>
        <w:ind w:firstLine="720"/>
        <w:contextualSpacing/>
      </w:pPr>
      <w:r>
        <w:rPr>
          <w:rFonts w:eastAsia="Times New Roman"/>
        </w:rPr>
        <w:t xml:space="preserve">The two primary objectives of the policy brief are: </w:t>
      </w:r>
      <w:r>
        <w:t>(1)</w:t>
      </w:r>
      <w:r>
        <w:rPr>
          <w:rFonts w:eastAsia="Times New Roman"/>
        </w:rPr>
        <w:t xml:space="preserve"> to encourage state and federal policymakers to pass legislation that would institutionalize telehealth to provide all patients with the necessary medical services regardless of location</w:t>
      </w:r>
      <w:r>
        <w:t xml:space="preserve"> and (2)</w:t>
      </w:r>
      <w:r>
        <w:rPr>
          <w:rFonts w:eastAsia="Times New Roman"/>
        </w:rPr>
        <w:t xml:space="preserve"> to </w:t>
      </w:r>
      <w:r>
        <w:t>involve</w:t>
      </w:r>
      <w:r>
        <w:rPr>
          <w:rFonts w:eastAsia="Times New Roman"/>
        </w:rPr>
        <w:t xml:space="preserve"> healthcare providers, insurance companies, and other stakeholders into the fold to support these changes as there is enough evidence that </w:t>
      </w:r>
      <w:r>
        <w:t>indicates the</w:t>
      </w:r>
      <w:r>
        <w:rPr>
          <w:rFonts w:eastAsia="Times New Roman"/>
        </w:rPr>
        <w:t xml:space="preserve"> effectiveness of these services </w:t>
      </w:r>
      <w:r>
        <w:t>like being</w:t>
      </w:r>
      <w:r>
        <w:rPr>
          <w:rFonts w:eastAsia="Times New Roman"/>
        </w:rPr>
        <w:t xml:space="preserve"> cost efficient and improve overall population health. </w:t>
      </w:r>
      <w:r>
        <w:t>Overall, t</w:t>
      </w:r>
      <w:r>
        <w:rPr>
          <w:rFonts w:eastAsia="Times New Roman"/>
        </w:rPr>
        <w:t>he brief seeks to provide a lasting solution to the continually reoccurring issue of access to health care in an effort to address the equity issue in the society.</w:t>
      </w:r>
    </w:p>
    <w:p w14:paraId="1EE667DD" w14:textId="77777777" w:rsidR="00323133" w:rsidRDefault="00323133" w:rsidP="00323133">
      <w:pPr>
        <w:contextualSpacing/>
        <w:jc w:val="center"/>
        <w:rPr>
          <w:b/>
        </w:rPr>
      </w:pPr>
      <w:r w:rsidRPr="00323133">
        <w:rPr>
          <w:b/>
        </w:rPr>
        <w:t>Conclusion</w:t>
      </w:r>
    </w:p>
    <w:p w14:paraId="1BE6552E" w14:textId="7BBD0424" w:rsidR="00323133" w:rsidRDefault="00323133" w:rsidP="00323133">
      <w:pPr>
        <w:ind w:firstLine="720"/>
        <w:contextualSpacing/>
      </w:pPr>
      <w:r>
        <w:t>The expansion of t</w:t>
      </w:r>
      <w:r>
        <w:rPr>
          <w:rFonts w:eastAsia="Times New Roman"/>
        </w:rPr>
        <w:t xml:space="preserve">elehealth services </w:t>
      </w:r>
      <w:r>
        <w:t>is</w:t>
      </w:r>
      <w:r>
        <w:rPr>
          <w:rFonts w:eastAsia="Times New Roman"/>
        </w:rPr>
        <w:t xml:space="preserve"> a revolutionary step that will assist in </w:t>
      </w:r>
      <w:r w:rsidR="008F77A8">
        <w:rPr>
          <w:rFonts w:eastAsia="Times New Roman"/>
        </w:rPr>
        <w:t>the management</w:t>
      </w:r>
      <w:r>
        <w:rPr>
          <w:rFonts w:eastAsia="Times New Roman"/>
        </w:rPr>
        <w:t xml:space="preserve"> of barriers in healthcare, especially for those in rural and underprivileged regions. </w:t>
      </w:r>
      <w:r w:rsidR="00C9474E">
        <w:rPr>
          <w:rFonts w:eastAsia="Times New Roman"/>
        </w:rPr>
        <w:t>By s</w:t>
      </w:r>
      <w:r>
        <w:rPr>
          <w:rFonts w:eastAsia="Times New Roman"/>
        </w:rPr>
        <w:t xml:space="preserve">upporting the </w:t>
      </w:r>
      <w:r w:rsidR="00D02518">
        <w:rPr>
          <w:rFonts w:eastAsia="Times New Roman"/>
        </w:rPr>
        <w:t>integration</w:t>
      </w:r>
      <w:r>
        <w:rPr>
          <w:rFonts w:eastAsia="Times New Roman"/>
        </w:rPr>
        <w:t xml:space="preserve"> of telehealth in </w:t>
      </w:r>
      <w:r w:rsidR="00AF4504">
        <w:rPr>
          <w:rFonts w:eastAsia="Times New Roman"/>
        </w:rPr>
        <w:t>the</w:t>
      </w:r>
      <w:r>
        <w:rPr>
          <w:rFonts w:eastAsia="Times New Roman"/>
        </w:rPr>
        <w:t xml:space="preserve"> health care system means that every person will eventually reap the benefits of timely, convenient, and quality medical care. </w:t>
      </w:r>
      <w:r w:rsidR="00AF4504">
        <w:rPr>
          <w:rFonts w:eastAsia="Times New Roman"/>
        </w:rPr>
        <w:t>Evidence</w:t>
      </w:r>
      <w:r>
        <w:rPr>
          <w:rFonts w:eastAsia="Times New Roman"/>
        </w:rPr>
        <w:t xml:space="preserve"> obtained from COVID-19 pandemic proves that telehealth can help eliminate geographic and other constraints in the healthcare system. </w:t>
      </w:r>
      <w:r w:rsidR="00BB0E5D">
        <w:rPr>
          <w:rFonts w:eastAsia="Times New Roman"/>
        </w:rPr>
        <w:t>Thus,</w:t>
      </w:r>
      <w:r>
        <w:rPr>
          <w:rFonts w:eastAsia="Times New Roman"/>
        </w:rPr>
        <w:t xml:space="preserve"> it is important for state and federal policy makers to understand these benefits in the long run and establish policies that will encourage the usage of these services. It will be critical to involve healthcare providers, insurance companies, and </w:t>
      </w:r>
      <w:r>
        <w:rPr>
          <w:rFonts w:eastAsia="Times New Roman"/>
        </w:rPr>
        <w:lastRenderedPageBreak/>
        <w:t>community-based organizations in such an approach to address the current inequity in the healthcare system. By integrating telehealth into the overall service delivery model for healthcare, the system will not only be delivering better care and increasing access, but it will also be building a more stable and effective system for the future.</w:t>
      </w:r>
    </w:p>
    <w:p w14:paraId="5E4BC58B" w14:textId="6EDCD863" w:rsidR="00323133" w:rsidRDefault="00323133" w:rsidP="00323133"/>
    <w:p w14:paraId="29663B49" w14:textId="51FD39F5" w:rsidR="0038114D" w:rsidRDefault="0038114D" w:rsidP="00323133"/>
    <w:p w14:paraId="7AA54F0E" w14:textId="32D6D13C" w:rsidR="0038114D" w:rsidRDefault="0038114D" w:rsidP="00323133"/>
    <w:p w14:paraId="7625BC17" w14:textId="20ADC1A2" w:rsidR="0038114D" w:rsidRDefault="0038114D" w:rsidP="00323133"/>
    <w:p w14:paraId="44EA2052" w14:textId="64E6B3AB" w:rsidR="0038114D" w:rsidRDefault="0038114D" w:rsidP="00323133"/>
    <w:p w14:paraId="018784B6" w14:textId="46FAE893" w:rsidR="0038114D" w:rsidRDefault="0038114D" w:rsidP="00323133"/>
    <w:p w14:paraId="22B91A8F" w14:textId="323CA602" w:rsidR="0038114D" w:rsidRDefault="0038114D" w:rsidP="00323133"/>
    <w:p w14:paraId="5BB96E32" w14:textId="73C55B56" w:rsidR="0038114D" w:rsidRDefault="0038114D" w:rsidP="00323133"/>
    <w:p w14:paraId="754DF703" w14:textId="4B0A2932" w:rsidR="0038114D" w:rsidRDefault="0038114D" w:rsidP="00323133"/>
    <w:p w14:paraId="5FDB4DC9" w14:textId="7B440410" w:rsidR="0038114D" w:rsidRDefault="0038114D" w:rsidP="00323133"/>
    <w:p w14:paraId="7B5CD72A" w14:textId="33B7621E" w:rsidR="0038114D" w:rsidRDefault="0038114D" w:rsidP="00323133"/>
    <w:p w14:paraId="1D3BD61E" w14:textId="1B91FFBD" w:rsidR="0038114D" w:rsidRDefault="0038114D" w:rsidP="00323133"/>
    <w:p w14:paraId="4B0CAA09" w14:textId="3FE3F3D6" w:rsidR="0038114D" w:rsidRDefault="0038114D" w:rsidP="00323133"/>
    <w:p w14:paraId="270E270B" w14:textId="64FCA3B7" w:rsidR="0038114D" w:rsidRDefault="0038114D" w:rsidP="00323133"/>
    <w:p w14:paraId="4B2191B3" w14:textId="61DF6148" w:rsidR="0038114D" w:rsidRDefault="0038114D" w:rsidP="00323133"/>
    <w:p w14:paraId="51A3FE84" w14:textId="1B67F55B" w:rsidR="0038114D" w:rsidRDefault="0038114D" w:rsidP="00323133"/>
    <w:p w14:paraId="7E3C7102" w14:textId="6FC84878" w:rsidR="0038114D" w:rsidRDefault="0038114D" w:rsidP="00323133"/>
    <w:p w14:paraId="71910F6A" w14:textId="65093E08" w:rsidR="0038114D" w:rsidRDefault="0038114D" w:rsidP="00323133"/>
    <w:p w14:paraId="2E9DA1BB" w14:textId="470C35BA" w:rsidR="0038114D" w:rsidRDefault="0038114D" w:rsidP="0038114D">
      <w:pPr>
        <w:jc w:val="center"/>
        <w:rPr>
          <w:b/>
        </w:rPr>
      </w:pPr>
      <w:r>
        <w:rPr>
          <w:b/>
        </w:rPr>
        <w:lastRenderedPageBreak/>
        <w:t>References</w:t>
      </w:r>
    </w:p>
    <w:p w14:paraId="142D589E" w14:textId="77777777" w:rsidR="00B82692" w:rsidRDefault="00B82692" w:rsidP="00B82692">
      <w:pPr>
        <w:ind w:left="720" w:hanging="720"/>
        <w:contextualSpacing/>
        <w:rPr>
          <w:bCs/>
        </w:rPr>
      </w:pPr>
      <w:r>
        <w:t>Congress.Gov. (</w:t>
      </w:r>
      <w:proofErr w:type="spellStart"/>
      <w:r>
        <w:t>n.d</w:t>
      </w:r>
      <w:proofErr w:type="spellEnd"/>
      <w:r>
        <w:t xml:space="preserve">). </w:t>
      </w:r>
      <w:r w:rsidRPr="003C744F">
        <w:rPr>
          <w:bCs/>
        </w:rPr>
        <w:t>S.3967 - Telehealth Modernization Act</w:t>
      </w:r>
      <w:r>
        <w:rPr>
          <w:bCs/>
        </w:rPr>
        <w:t xml:space="preserve">. </w:t>
      </w:r>
      <w:r w:rsidRPr="003C744F">
        <w:rPr>
          <w:bCs/>
          <w:i/>
        </w:rPr>
        <w:t>Congress.gov</w:t>
      </w:r>
      <w:r>
        <w:rPr>
          <w:bCs/>
          <w:i/>
        </w:rPr>
        <w:t>.</w:t>
      </w:r>
      <w:r w:rsidRPr="003C744F">
        <w:rPr>
          <w:bCs/>
        </w:rPr>
        <w:t xml:space="preserve"> </w:t>
      </w:r>
      <w:hyperlink r:id="rId6" w:history="1">
        <w:r w:rsidRPr="007F7A35">
          <w:rPr>
            <w:rStyle w:val="Hyperlink"/>
            <w:bCs/>
          </w:rPr>
          <w:t>https://www.congress.gov/bill/118th-congress/senate-bill/3967?q=%7B%22search%22%3A%22Telehealth+bills%22%7D&amp;s=1&amp;r=2</w:t>
        </w:r>
      </w:hyperlink>
    </w:p>
    <w:p w14:paraId="2AAD5342" w14:textId="77777777" w:rsidR="00B82692" w:rsidRDefault="00B82692" w:rsidP="00B82692">
      <w:pPr>
        <w:ind w:left="720" w:hanging="720"/>
        <w:contextualSpacing/>
        <w:rPr>
          <w:rStyle w:val="url"/>
        </w:rPr>
      </w:pPr>
      <w:r>
        <w:t xml:space="preserve">Coombs, N. C., Meriwether, W. E., </w:t>
      </w:r>
      <w:proofErr w:type="spellStart"/>
      <w:r>
        <w:t>Caringi</w:t>
      </w:r>
      <w:proofErr w:type="spellEnd"/>
      <w:r>
        <w:t xml:space="preserve">, J., &amp; Newcomer, S. R. (2021). Barriers to healthcare access among U.S. adults with mental health challenges: A population-based study. </w:t>
      </w:r>
      <w:r>
        <w:rPr>
          <w:i/>
          <w:iCs/>
        </w:rPr>
        <w:t>SSM - Population Health</w:t>
      </w:r>
      <w:r>
        <w:t xml:space="preserve">, </w:t>
      </w:r>
      <w:r>
        <w:rPr>
          <w:i/>
          <w:iCs/>
        </w:rPr>
        <w:t>15</w:t>
      </w:r>
      <w:r>
        <w:t xml:space="preserve">, 100847. </w:t>
      </w:r>
      <w:hyperlink r:id="rId7" w:history="1">
        <w:r w:rsidRPr="007F7A35">
          <w:rPr>
            <w:rStyle w:val="Hyperlink"/>
          </w:rPr>
          <w:t>https://doi.org/10.1016/j.ssmph.2021.100847</w:t>
        </w:r>
      </w:hyperlink>
    </w:p>
    <w:p w14:paraId="565FC4BF" w14:textId="77777777" w:rsidR="00B82692" w:rsidRDefault="00B82692" w:rsidP="00B82692">
      <w:pPr>
        <w:ind w:left="720" w:hanging="720"/>
        <w:contextualSpacing/>
        <w:rPr>
          <w:rStyle w:val="url"/>
        </w:rPr>
      </w:pPr>
      <w:proofErr w:type="spellStart"/>
      <w:r>
        <w:t>Gajarawala</w:t>
      </w:r>
      <w:proofErr w:type="spellEnd"/>
      <w:r>
        <w:t xml:space="preserve">, S. N., &amp; </w:t>
      </w:r>
      <w:proofErr w:type="spellStart"/>
      <w:r>
        <w:t>Pelkowski</w:t>
      </w:r>
      <w:proofErr w:type="spellEnd"/>
      <w:r>
        <w:t xml:space="preserve">, J. N. (2021). Telehealth benefits and barriers. </w:t>
      </w:r>
      <w:r>
        <w:rPr>
          <w:i/>
          <w:iCs/>
        </w:rPr>
        <w:t>The Journal for Nurse Practitioners</w:t>
      </w:r>
      <w:r>
        <w:t xml:space="preserve">, </w:t>
      </w:r>
      <w:r>
        <w:rPr>
          <w:i/>
          <w:iCs/>
        </w:rPr>
        <w:t>17</w:t>
      </w:r>
      <w:r>
        <w:t xml:space="preserve">(2), 218–221. </w:t>
      </w:r>
      <w:hyperlink r:id="rId8" w:history="1">
        <w:r w:rsidRPr="007F7A35">
          <w:rPr>
            <w:rStyle w:val="Hyperlink"/>
          </w:rPr>
          <w:t>https://doi.org/10.1016/j.nurpra.2020.09.013</w:t>
        </w:r>
      </w:hyperlink>
    </w:p>
    <w:p w14:paraId="330BAEF3" w14:textId="77777777" w:rsidR="00B82692" w:rsidRDefault="00B82692" w:rsidP="00B82692">
      <w:pPr>
        <w:ind w:left="720" w:hanging="720"/>
        <w:contextualSpacing/>
        <w:rPr>
          <w:rStyle w:val="url"/>
        </w:rPr>
      </w:pPr>
      <w:proofErr w:type="spellStart"/>
      <w:r>
        <w:t>Hatef</w:t>
      </w:r>
      <w:proofErr w:type="spellEnd"/>
      <w:r>
        <w:t xml:space="preserve">, E., Wilson, R. F., Zhang, A., </w:t>
      </w:r>
      <w:proofErr w:type="spellStart"/>
      <w:r>
        <w:t>Hannum</w:t>
      </w:r>
      <w:proofErr w:type="spellEnd"/>
      <w:r>
        <w:t xml:space="preserve">, S. M., Kharrazi, H., Davis, S. A., </w:t>
      </w:r>
      <w:proofErr w:type="spellStart"/>
      <w:r>
        <w:t>Foroughmand</w:t>
      </w:r>
      <w:proofErr w:type="spellEnd"/>
      <w:r>
        <w:t xml:space="preserve">, I., Weiner, J. P., &amp; Robinson, K. A. (2024). Effectiveness of telehealth versus in-person care during the COVID-19 pandemic: A systematic review. </w:t>
      </w:r>
      <w:proofErr w:type="spellStart"/>
      <w:r>
        <w:rPr>
          <w:i/>
          <w:iCs/>
        </w:rPr>
        <w:t>Npj</w:t>
      </w:r>
      <w:proofErr w:type="spellEnd"/>
      <w:r>
        <w:rPr>
          <w:i/>
          <w:iCs/>
        </w:rPr>
        <w:t xml:space="preserve"> Digital Medicine</w:t>
      </w:r>
      <w:r>
        <w:t xml:space="preserve">, </w:t>
      </w:r>
      <w:r>
        <w:rPr>
          <w:i/>
          <w:iCs/>
        </w:rPr>
        <w:t>7</w:t>
      </w:r>
      <w:r>
        <w:t xml:space="preserve">(1). </w:t>
      </w:r>
      <w:hyperlink r:id="rId9" w:history="1">
        <w:r w:rsidRPr="007F7A35">
          <w:rPr>
            <w:rStyle w:val="Hyperlink"/>
          </w:rPr>
          <w:t>https://doi.org/10.1038/s41746-024-01152-2</w:t>
        </w:r>
      </w:hyperlink>
    </w:p>
    <w:p w14:paraId="624378C4" w14:textId="77777777" w:rsidR="00B82692" w:rsidRDefault="00B82692" w:rsidP="00B82692">
      <w:pPr>
        <w:ind w:left="720" w:hanging="720"/>
        <w:contextualSpacing/>
        <w:rPr>
          <w:rStyle w:val="url"/>
        </w:rPr>
      </w:pPr>
      <w:r>
        <w:t xml:space="preserve">Lestari, H. M., Miranda, A. V., &amp; </w:t>
      </w:r>
      <w:proofErr w:type="spellStart"/>
      <w:r>
        <w:t>Fuady</w:t>
      </w:r>
      <w:proofErr w:type="spellEnd"/>
      <w:r>
        <w:t xml:space="preserve">, A. (2024). Barriers to telemedicine adoption among rural communities in developing countries: A systematic review and proposed framework. </w:t>
      </w:r>
      <w:r>
        <w:rPr>
          <w:i/>
          <w:iCs/>
        </w:rPr>
        <w:t>Clinical Epidemiology and Global Health</w:t>
      </w:r>
      <w:r>
        <w:t xml:space="preserve">, 101684. </w:t>
      </w:r>
      <w:hyperlink r:id="rId10" w:history="1">
        <w:r w:rsidRPr="007F7A35">
          <w:rPr>
            <w:rStyle w:val="Hyperlink"/>
          </w:rPr>
          <w:t>https://doi.org/10.1016/j.cegh.2024.101684</w:t>
        </w:r>
      </w:hyperlink>
    </w:p>
    <w:p w14:paraId="3A75FE62" w14:textId="77777777" w:rsidR="0038114D" w:rsidRPr="0038114D" w:rsidRDefault="0038114D" w:rsidP="0038114D"/>
    <w:sectPr w:rsidR="0038114D" w:rsidRPr="0038114D">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856BA" w14:textId="77777777" w:rsidR="006E2DFF" w:rsidRDefault="006E2DFF" w:rsidP="00D77AF2">
      <w:pPr>
        <w:spacing w:after="0" w:line="240" w:lineRule="auto"/>
      </w:pPr>
      <w:r>
        <w:separator/>
      </w:r>
    </w:p>
  </w:endnote>
  <w:endnote w:type="continuationSeparator" w:id="0">
    <w:p w14:paraId="27D31F52" w14:textId="77777777" w:rsidR="006E2DFF" w:rsidRDefault="006E2DFF" w:rsidP="00D77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337A9" w14:textId="77777777" w:rsidR="006E2DFF" w:rsidRDefault="006E2DFF" w:rsidP="00D77AF2">
      <w:pPr>
        <w:spacing w:after="0" w:line="240" w:lineRule="auto"/>
      </w:pPr>
      <w:r>
        <w:separator/>
      </w:r>
    </w:p>
  </w:footnote>
  <w:footnote w:type="continuationSeparator" w:id="0">
    <w:p w14:paraId="06AFE044" w14:textId="77777777" w:rsidR="006E2DFF" w:rsidRDefault="006E2DFF" w:rsidP="00D77A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74729" w14:textId="7A12760F" w:rsidR="00D77AF2" w:rsidRDefault="00D77AF2">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7A0MzY1NbMwMTQzMzVV0lEKTi0uzszPAykwqgUAAsyKnSwAAAA="/>
  </w:docVars>
  <w:rsids>
    <w:rsidRoot w:val="006E19DF"/>
    <w:rsid w:val="0003589D"/>
    <w:rsid w:val="00066A00"/>
    <w:rsid w:val="00251A96"/>
    <w:rsid w:val="003034CA"/>
    <w:rsid w:val="00305638"/>
    <w:rsid w:val="00323133"/>
    <w:rsid w:val="0038114D"/>
    <w:rsid w:val="0042071D"/>
    <w:rsid w:val="004D69C5"/>
    <w:rsid w:val="005023AC"/>
    <w:rsid w:val="00521782"/>
    <w:rsid w:val="00541594"/>
    <w:rsid w:val="00546AC0"/>
    <w:rsid w:val="005C2592"/>
    <w:rsid w:val="006837EE"/>
    <w:rsid w:val="006E19DF"/>
    <w:rsid w:val="006E2DFF"/>
    <w:rsid w:val="00710C34"/>
    <w:rsid w:val="0071289F"/>
    <w:rsid w:val="00767465"/>
    <w:rsid w:val="007B6A4A"/>
    <w:rsid w:val="007C197D"/>
    <w:rsid w:val="00875143"/>
    <w:rsid w:val="008F2E09"/>
    <w:rsid w:val="008F4457"/>
    <w:rsid w:val="008F77A8"/>
    <w:rsid w:val="00954C1A"/>
    <w:rsid w:val="00997884"/>
    <w:rsid w:val="009A5674"/>
    <w:rsid w:val="009B14C0"/>
    <w:rsid w:val="009F06CD"/>
    <w:rsid w:val="00A33DC3"/>
    <w:rsid w:val="00A92017"/>
    <w:rsid w:val="00AF4504"/>
    <w:rsid w:val="00B449C2"/>
    <w:rsid w:val="00B82692"/>
    <w:rsid w:val="00BB0E5D"/>
    <w:rsid w:val="00C300C9"/>
    <w:rsid w:val="00C9474E"/>
    <w:rsid w:val="00D02518"/>
    <w:rsid w:val="00D17A9B"/>
    <w:rsid w:val="00D54944"/>
    <w:rsid w:val="00D77AF2"/>
    <w:rsid w:val="00E45DCF"/>
    <w:rsid w:val="00E53684"/>
    <w:rsid w:val="00E54DA3"/>
    <w:rsid w:val="00EB4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548D4"/>
  <w15:chartTrackingRefBased/>
  <w15:docId w15:val="{A88CAD3D-1351-46D9-97D0-ABA06F821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mavoke"/>
    <w:qFormat/>
    <w:rsid w:val="0003589D"/>
    <w:pPr>
      <w:spacing w:after="40" w:line="480" w:lineRule="auto"/>
    </w:pPr>
    <w:rPr>
      <w:rFonts w:ascii="Times New Roman" w:hAnsi="Times New Roman"/>
      <w:kern w:val="2"/>
      <w:sz w:val="24"/>
      <w14:ligatures w14:val="standardContextual"/>
    </w:rPr>
  </w:style>
  <w:style w:type="paragraph" w:styleId="Heading1">
    <w:name w:val="heading 1"/>
    <w:basedOn w:val="Normal"/>
    <w:next w:val="Normal"/>
    <w:link w:val="Heading1Char"/>
    <w:uiPriority w:val="9"/>
    <w:qFormat/>
    <w:rsid w:val="008F4457"/>
    <w:pPr>
      <w:keepNext/>
      <w:keepLines/>
      <w:spacing w:after="0"/>
      <w:jc w:val="center"/>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42071D"/>
    <w:pPr>
      <w:keepNext/>
      <w:keepLines/>
      <w:spacing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F4457"/>
    <w:pPr>
      <w:keepNext/>
      <w:keepLines/>
      <w:spacing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457"/>
    <w:rPr>
      <w:rFonts w:ascii="Times New Roman" w:eastAsiaTheme="majorEastAsia" w:hAnsi="Times New Roman" w:cstheme="majorBidi"/>
      <w:b/>
      <w:kern w:val="2"/>
      <w:sz w:val="24"/>
      <w:szCs w:val="32"/>
      <w14:ligatures w14:val="standardContextual"/>
    </w:rPr>
  </w:style>
  <w:style w:type="character" w:customStyle="1" w:styleId="Heading2Char">
    <w:name w:val="Heading 2 Char"/>
    <w:basedOn w:val="DefaultParagraphFont"/>
    <w:link w:val="Heading2"/>
    <w:uiPriority w:val="9"/>
    <w:semiHidden/>
    <w:rsid w:val="0042071D"/>
    <w:rPr>
      <w:rFonts w:ascii="Times New Roman" w:eastAsiaTheme="majorEastAsia" w:hAnsi="Times New Roman" w:cstheme="majorBidi"/>
      <w:b/>
      <w:kern w:val="2"/>
      <w:sz w:val="24"/>
      <w:szCs w:val="26"/>
      <w14:ligatures w14:val="standardContextual"/>
    </w:rPr>
  </w:style>
  <w:style w:type="paragraph" w:styleId="Title">
    <w:name w:val="Title"/>
    <w:aliases w:val="heading 3"/>
    <w:basedOn w:val="Normal"/>
    <w:next w:val="Normal"/>
    <w:link w:val="TitleChar"/>
    <w:uiPriority w:val="10"/>
    <w:qFormat/>
    <w:rsid w:val="0042071D"/>
    <w:pPr>
      <w:spacing w:after="0"/>
      <w:contextualSpacing/>
    </w:pPr>
    <w:rPr>
      <w:rFonts w:eastAsiaTheme="majorEastAsia" w:cstheme="majorBidi"/>
      <w:spacing w:val="-10"/>
      <w:kern w:val="28"/>
      <w:szCs w:val="56"/>
    </w:rPr>
  </w:style>
  <w:style w:type="character" w:customStyle="1" w:styleId="TitleChar">
    <w:name w:val="Title Char"/>
    <w:aliases w:val="heading 3 Char"/>
    <w:basedOn w:val="DefaultParagraphFont"/>
    <w:link w:val="Title"/>
    <w:uiPriority w:val="10"/>
    <w:rsid w:val="0042071D"/>
    <w:rPr>
      <w:rFonts w:ascii="Times New Roman" w:eastAsiaTheme="majorEastAsia" w:hAnsi="Times New Roman" w:cstheme="majorBidi"/>
      <w:spacing w:val="-10"/>
      <w:kern w:val="28"/>
      <w:sz w:val="24"/>
      <w:szCs w:val="56"/>
      <w14:ligatures w14:val="standardContextual"/>
    </w:rPr>
  </w:style>
  <w:style w:type="character" w:customStyle="1" w:styleId="Heading3Char">
    <w:name w:val="Heading 3 Char"/>
    <w:basedOn w:val="DefaultParagraphFont"/>
    <w:link w:val="Heading3"/>
    <w:uiPriority w:val="9"/>
    <w:rsid w:val="008F4457"/>
    <w:rPr>
      <w:rFonts w:ascii="Times New Roman" w:eastAsiaTheme="majorEastAsia" w:hAnsi="Times New Roman" w:cstheme="majorBidi"/>
      <w:kern w:val="2"/>
      <w:sz w:val="24"/>
      <w:szCs w:val="24"/>
      <w14:ligatures w14:val="standardContextual"/>
    </w:rPr>
  </w:style>
  <w:style w:type="paragraph" w:styleId="NormalWeb">
    <w:name w:val="Normal (Web)"/>
    <w:basedOn w:val="Normal"/>
    <w:uiPriority w:val="99"/>
    <w:semiHidden/>
    <w:unhideWhenUsed/>
    <w:rsid w:val="008F2E09"/>
    <w:pPr>
      <w:spacing w:before="100" w:beforeAutospacing="1" w:after="100" w:afterAutospacing="1" w:line="240" w:lineRule="auto"/>
    </w:pPr>
    <w:rPr>
      <w:rFonts w:eastAsia="Times New Roman" w:cs="Times New Roman"/>
      <w:kern w:val="0"/>
      <w:szCs w:val="24"/>
      <w14:ligatures w14:val="none"/>
    </w:rPr>
  </w:style>
  <w:style w:type="paragraph" w:styleId="Header">
    <w:name w:val="header"/>
    <w:basedOn w:val="Normal"/>
    <w:link w:val="HeaderChar"/>
    <w:uiPriority w:val="99"/>
    <w:unhideWhenUsed/>
    <w:rsid w:val="00D77A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AF2"/>
    <w:rPr>
      <w:rFonts w:ascii="Times New Roman" w:hAnsi="Times New Roman"/>
      <w:kern w:val="2"/>
      <w:sz w:val="24"/>
      <w14:ligatures w14:val="standardContextual"/>
    </w:rPr>
  </w:style>
  <w:style w:type="paragraph" w:styleId="Footer">
    <w:name w:val="footer"/>
    <w:basedOn w:val="Normal"/>
    <w:link w:val="FooterChar"/>
    <w:uiPriority w:val="99"/>
    <w:unhideWhenUsed/>
    <w:rsid w:val="00D77A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AF2"/>
    <w:rPr>
      <w:rFonts w:ascii="Times New Roman" w:hAnsi="Times New Roman"/>
      <w:kern w:val="2"/>
      <w:sz w:val="24"/>
      <w14:ligatures w14:val="standardContextual"/>
    </w:rPr>
  </w:style>
  <w:style w:type="character" w:styleId="Hyperlink">
    <w:name w:val="Hyperlink"/>
    <w:basedOn w:val="DefaultParagraphFont"/>
    <w:uiPriority w:val="99"/>
    <w:unhideWhenUsed/>
    <w:rsid w:val="00B82692"/>
    <w:rPr>
      <w:color w:val="0563C1" w:themeColor="hyperlink"/>
      <w:u w:val="single"/>
    </w:rPr>
  </w:style>
  <w:style w:type="character" w:customStyle="1" w:styleId="url">
    <w:name w:val="url"/>
    <w:basedOn w:val="DefaultParagraphFont"/>
    <w:rsid w:val="00B826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nurpra.2020.09.01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16/j.ssmph.2021.10084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gress.gov/bill/118th-congress/senate-bill/3967?q=%7B%22search%22%3A%22Telehealth+bills%22%7D&amp;s=1&amp;r=2"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doi.org/10.1016/j.cegh.2024.101684" TargetMode="External"/><Relationship Id="rId4" Type="http://schemas.openxmlformats.org/officeDocument/2006/relationships/footnotes" Target="footnotes.xml"/><Relationship Id="rId9" Type="http://schemas.openxmlformats.org/officeDocument/2006/relationships/hyperlink" Target="https://doi.org/10.1038/s41746-024-0115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1756</Words>
  <Characters>10014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mbatha</dc:creator>
  <cp:keywords/>
  <dc:description/>
  <cp:lastModifiedBy>Kelvin mbatha</cp:lastModifiedBy>
  <cp:revision>30</cp:revision>
  <dcterms:created xsi:type="dcterms:W3CDTF">2024-08-24T08:59:00Z</dcterms:created>
  <dcterms:modified xsi:type="dcterms:W3CDTF">2024-08-24T10:00:00Z</dcterms:modified>
</cp:coreProperties>
</file>